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3F" w:rsidRDefault="00C91A3F" w:rsidP="00C91A3F">
      <w:pPr>
        <w:spacing w:after="0" w:line="240" w:lineRule="auto"/>
        <w:contextualSpacing/>
        <w:jc w:val="center"/>
        <w:rPr>
          <w:b/>
          <w:bCs/>
          <w:color w:val="990000"/>
          <w:sz w:val="32"/>
          <w:szCs w:val="32"/>
        </w:rPr>
      </w:pPr>
      <w:r>
        <w:rPr>
          <w:b/>
          <w:bCs/>
          <w:noProof/>
          <w:color w:val="990000"/>
          <w:sz w:val="32"/>
          <w:szCs w:val="32"/>
        </w:rPr>
        <w:drawing>
          <wp:inline distT="0" distB="0" distL="0" distR="0">
            <wp:extent cx="2880000" cy="203059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e dell'india logo ma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0000" cy="2030599"/>
                    </a:xfrm>
                    <a:prstGeom prst="rect">
                      <a:avLst/>
                    </a:prstGeom>
                  </pic:spPr>
                </pic:pic>
              </a:graphicData>
            </a:graphic>
          </wp:inline>
        </w:drawing>
      </w:r>
    </w:p>
    <w:p w:rsidR="00C91A3F" w:rsidRDefault="00C91A3F" w:rsidP="00C91A3F">
      <w:pPr>
        <w:spacing w:after="0" w:line="240" w:lineRule="auto"/>
        <w:contextualSpacing/>
        <w:jc w:val="center"/>
        <w:rPr>
          <w:b/>
          <w:bCs/>
          <w:color w:val="990000"/>
          <w:sz w:val="32"/>
          <w:szCs w:val="32"/>
        </w:rPr>
      </w:pPr>
    </w:p>
    <w:p w:rsidR="00C91A3F" w:rsidRPr="00C91A3F" w:rsidRDefault="00C91A3F" w:rsidP="00C91A3F">
      <w:pPr>
        <w:spacing w:after="0" w:line="240" w:lineRule="auto"/>
        <w:contextualSpacing/>
        <w:jc w:val="center"/>
        <w:rPr>
          <w:rFonts w:asciiTheme="minorHAnsi" w:hAnsiTheme="minorHAnsi"/>
          <w:color w:val="000000"/>
        </w:rPr>
      </w:pPr>
      <w:r w:rsidRPr="00C91A3F">
        <w:rPr>
          <w:rFonts w:asciiTheme="minorHAnsi" w:hAnsiTheme="minorHAnsi"/>
          <w:b/>
          <w:bCs/>
          <w:color w:val="990000"/>
          <w:sz w:val="32"/>
          <w:szCs w:val="32"/>
        </w:rPr>
        <w:t>MAGIE DELL’INDIA</w:t>
      </w:r>
    </w:p>
    <w:p w:rsidR="00C91A3F" w:rsidRPr="00C91A3F" w:rsidRDefault="00C91A3F" w:rsidP="00C91A3F">
      <w:pPr>
        <w:spacing w:after="0" w:line="240" w:lineRule="auto"/>
        <w:contextualSpacing/>
        <w:jc w:val="center"/>
        <w:rPr>
          <w:rFonts w:asciiTheme="minorHAnsi" w:hAnsiTheme="minorHAnsi"/>
          <w:color w:val="000000"/>
        </w:rPr>
      </w:pPr>
      <w:r w:rsidRPr="00C91A3F">
        <w:rPr>
          <w:rFonts w:asciiTheme="minorHAnsi" w:hAnsiTheme="minorHAnsi"/>
          <w:b/>
          <w:bCs/>
          <w:color w:val="990000"/>
          <w:sz w:val="32"/>
          <w:szCs w:val="32"/>
        </w:rPr>
        <w:t>DAL TEMPIO ALLA CORTE, CAPOLAVORI D’ARTE INDIANA</w:t>
      </w:r>
    </w:p>
    <w:p w:rsidR="00C91A3F" w:rsidRPr="00C91A3F" w:rsidRDefault="00C91A3F" w:rsidP="00C91A3F">
      <w:pPr>
        <w:spacing w:after="0" w:line="240" w:lineRule="auto"/>
        <w:contextualSpacing/>
        <w:jc w:val="center"/>
        <w:rPr>
          <w:rFonts w:asciiTheme="minorHAnsi" w:hAnsiTheme="minorHAnsi"/>
          <w:color w:val="000000"/>
        </w:rPr>
      </w:pPr>
      <w:r w:rsidRPr="00C91A3F">
        <w:rPr>
          <w:rFonts w:asciiTheme="minorHAnsi" w:hAnsiTheme="minorHAnsi"/>
          <w:b/>
          <w:bCs/>
          <w:color w:val="000000"/>
          <w:sz w:val="24"/>
          <w:szCs w:val="24"/>
        </w:rPr>
        <w:t> </w:t>
      </w:r>
    </w:p>
    <w:p w:rsidR="00C91A3F" w:rsidRPr="00C91A3F" w:rsidRDefault="00C91A3F" w:rsidP="00C91A3F">
      <w:pPr>
        <w:spacing w:after="0" w:line="240" w:lineRule="auto"/>
        <w:contextualSpacing/>
        <w:jc w:val="center"/>
        <w:rPr>
          <w:rFonts w:asciiTheme="minorHAnsi" w:hAnsiTheme="minorHAnsi"/>
          <w:color w:val="000000"/>
        </w:rPr>
      </w:pPr>
      <w:r w:rsidRPr="00C91A3F">
        <w:rPr>
          <w:rFonts w:asciiTheme="minorHAnsi" w:hAnsiTheme="minorHAnsi"/>
          <w:b/>
          <w:bCs/>
          <w:color w:val="990000"/>
          <w:sz w:val="24"/>
          <w:szCs w:val="24"/>
        </w:rPr>
        <w:t>Treviso, Casa dei Carraresi</w:t>
      </w:r>
    </w:p>
    <w:p w:rsidR="00C91A3F" w:rsidRPr="00C91A3F" w:rsidRDefault="00C91A3F" w:rsidP="00C91A3F">
      <w:pPr>
        <w:spacing w:after="0" w:line="240" w:lineRule="auto"/>
        <w:contextualSpacing/>
        <w:jc w:val="center"/>
        <w:rPr>
          <w:rFonts w:asciiTheme="minorHAnsi" w:hAnsiTheme="minorHAnsi"/>
          <w:color w:val="990000"/>
        </w:rPr>
      </w:pPr>
      <w:r w:rsidRPr="00C91A3F">
        <w:rPr>
          <w:rFonts w:asciiTheme="minorHAnsi" w:hAnsiTheme="minorHAnsi"/>
          <w:b/>
          <w:bCs/>
          <w:color w:val="990000"/>
          <w:sz w:val="24"/>
          <w:szCs w:val="24"/>
        </w:rPr>
        <w:t>26 ottobre 2013 – 31 maggio 2014</w:t>
      </w:r>
    </w:p>
    <w:p w:rsidR="00C91A3F" w:rsidRPr="00C91A3F" w:rsidRDefault="00C91A3F" w:rsidP="00C91A3F">
      <w:pPr>
        <w:rPr>
          <w:rFonts w:asciiTheme="minorHAnsi" w:hAnsiTheme="minorHAnsi"/>
          <w:color w:val="000000"/>
        </w:rPr>
      </w:pPr>
      <w:r w:rsidRPr="00C91A3F">
        <w:rPr>
          <w:rFonts w:asciiTheme="minorHAnsi" w:hAnsiTheme="minorHAnsi"/>
          <w:color w:val="000000"/>
          <w:sz w:val="24"/>
          <w:szCs w:val="24"/>
        </w:rPr>
        <w:t> </w:t>
      </w:r>
    </w:p>
    <w:p w:rsidR="00C91A3F" w:rsidRPr="00C91A3F" w:rsidRDefault="00C91A3F" w:rsidP="00C91A3F">
      <w:pPr>
        <w:pStyle w:val="Default"/>
        <w:jc w:val="both"/>
        <w:rPr>
          <w:rFonts w:asciiTheme="minorHAnsi" w:hAnsiTheme="minorHAnsi"/>
        </w:rPr>
      </w:pPr>
      <w:r w:rsidRPr="00C91A3F">
        <w:rPr>
          <w:rFonts w:asciiTheme="minorHAnsi" w:hAnsiTheme="minorHAnsi" w:cs="Arial"/>
          <w:b/>
          <w:bCs/>
          <w:i/>
          <w:iCs/>
          <w:color w:val="3366FF"/>
        </w:rPr>
        <w:t>A Casa dei Carraresi a Treviso, dal 26 ottobre 2013 al 31 maggio 2014, una grande mostra presenta per la prima volta in Italia una rassegna di opere d’arte indiana che spazia dal II millennio a.C. all’epoca dei Maharaja.</w:t>
      </w:r>
    </w:p>
    <w:p w:rsidR="00C91A3F" w:rsidRPr="00C91A3F" w:rsidRDefault="00C91A3F" w:rsidP="00C91A3F">
      <w:pPr>
        <w:pStyle w:val="Default"/>
        <w:jc w:val="both"/>
        <w:rPr>
          <w:rFonts w:asciiTheme="minorHAnsi" w:hAnsiTheme="minorHAnsi"/>
        </w:rPr>
      </w:pPr>
      <w:r w:rsidRPr="00C91A3F">
        <w:rPr>
          <w:rFonts w:asciiTheme="minorHAnsi" w:hAnsiTheme="minorHAnsi" w:cs="Arial"/>
          <w:i/>
          <w:iCs/>
        </w:rPr>
        <w:t> </w:t>
      </w:r>
    </w:p>
    <w:p w:rsidR="00C91A3F" w:rsidRPr="00C91A3F" w:rsidRDefault="00C91A3F" w:rsidP="00C91A3F">
      <w:pPr>
        <w:jc w:val="both"/>
        <w:rPr>
          <w:rFonts w:asciiTheme="minorHAnsi" w:hAnsiTheme="minorHAnsi"/>
          <w:color w:val="000000"/>
          <w:sz w:val="24"/>
          <w:szCs w:val="24"/>
        </w:rPr>
      </w:pPr>
      <w:r w:rsidRPr="00C91A3F">
        <w:rPr>
          <w:rFonts w:asciiTheme="minorHAnsi" w:hAnsiTheme="minorHAnsi" w:cs="Arial"/>
          <w:b/>
          <w:bCs/>
          <w:color w:val="000000"/>
          <w:sz w:val="24"/>
          <w:szCs w:val="24"/>
        </w:rPr>
        <w:t>Dal 26 ottobre 2013 al 31 maggio 2014</w:t>
      </w:r>
      <w:r w:rsidRPr="00C91A3F">
        <w:rPr>
          <w:rFonts w:asciiTheme="minorHAnsi" w:hAnsiTheme="minorHAnsi" w:cs="Arial"/>
          <w:color w:val="000000"/>
          <w:sz w:val="24"/>
          <w:szCs w:val="24"/>
        </w:rPr>
        <w:t xml:space="preserve"> la </w:t>
      </w:r>
      <w:r w:rsidRPr="00C91A3F">
        <w:rPr>
          <w:rFonts w:asciiTheme="minorHAnsi" w:hAnsiTheme="minorHAnsi" w:cs="Arial"/>
          <w:b/>
          <w:bCs/>
          <w:color w:val="000000"/>
          <w:sz w:val="24"/>
          <w:szCs w:val="24"/>
        </w:rPr>
        <w:t>Casa dei Carraresi di Treviso</w:t>
      </w:r>
      <w:r w:rsidRPr="00C91A3F">
        <w:rPr>
          <w:rFonts w:asciiTheme="minorHAnsi" w:hAnsiTheme="minorHAnsi" w:cs="Arial"/>
          <w:color w:val="000000"/>
          <w:sz w:val="24"/>
          <w:szCs w:val="24"/>
        </w:rPr>
        <w:t xml:space="preserve">, dopo le quattro grandi mostre dedicate alla Cina e lo straordinario successo dell’esposizione dedicata al Tibet, farà da cornice ai </w:t>
      </w:r>
      <w:r w:rsidRPr="00C91A3F">
        <w:rPr>
          <w:rFonts w:asciiTheme="minorHAnsi" w:hAnsiTheme="minorHAnsi" w:cs="Arial"/>
          <w:b/>
          <w:bCs/>
          <w:color w:val="000000"/>
          <w:sz w:val="24"/>
          <w:szCs w:val="24"/>
        </w:rPr>
        <w:t>capolavori d’arte provenienti dalla millenaria cività indiana</w:t>
      </w:r>
      <w:r w:rsidRPr="00C91A3F">
        <w:rPr>
          <w:rFonts w:asciiTheme="minorHAnsi" w:hAnsiTheme="minorHAnsi" w:cs="Arial"/>
          <w:color w:val="000000"/>
          <w:sz w:val="24"/>
          <w:szCs w:val="24"/>
        </w:rPr>
        <w:t xml:space="preserve">. La Mostra </w:t>
      </w:r>
      <w:r w:rsidRPr="00C91A3F">
        <w:rPr>
          <w:rFonts w:asciiTheme="minorHAnsi" w:hAnsiTheme="minorHAnsi" w:cs="Arial"/>
          <w:b/>
          <w:bCs/>
          <w:color w:val="000000"/>
          <w:sz w:val="24"/>
          <w:szCs w:val="24"/>
        </w:rPr>
        <w:t>“Magie dell’India. Dal Tempio alla Corte, Capolavori d’Arte Indiana”</w:t>
      </w:r>
      <w:r w:rsidRPr="00C91A3F">
        <w:rPr>
          <w:rFonts w:asciiTheme="minorHAnsi" w:hAnsiTheme="minorHAnsi" w:cs="Arial"/>
          <w:color w:val="000000"/>
          <w:sz w:val="24"/>
          <w:szCs w:val="24"/>
        </w:rPr>
        <w:t xml:space="preserve">, attraverso elementi architettonici, miniature, fotografie d’epoca, oggetti di uso rituale e quotidiano, costumi, tessuti, gioielli, accanto a statue e bassorilievi provenienti da importanti collezioni museali e private italiane, si pone l’obiettivo di </w:t>
      </w:r>
      <w:r w:rsidRPr="00C91A3F">
        <w:rPr>
          <w:rFonts w:asciiTheme="minorHAnsi" w:hAnsiTheme="minorHAnsi" w:cs="Arial"/>
          <w:b/>
          <w:bCs/>
          <w:color w:val="000000"/>
          <w:sz w:val="24"/>
          <w:szCs w:val="24"/>
        </w:rPr>
        <w:t>ricostruire le tappe salienti della civiltà indiana attraverso l’esposizione di opere dell’arte antica e moderna, dal II millennio a.C. all’epoca dei Maharaja</w:t>
      </w:r>
      <w:r w:rsidRPr="00C91A3F">
        <w:rPr>
          <w:rFonts w:asciiTheme="minorHAnsi" w:hAnsiTheme="minorHAnsi" w:cs="Arial"/>
          <w:color w:val="000000"/>
          <w:sz w:val="24"/>
          <w:szCs w:val="24"/>
        </w:rPr>
        <w:t xml:space="preserve">, collocate in un </w:t>
      </w:r>
      <w:r w:rsidRPr="00C91A3F">
        <w:rPr>
          <w:rFonts w:asciiTheme="minorHAnsi" w:hAnsiTheme="minorHAnsi" w:cs="Arial"/>
          <w:b/>
          <w:bCs/>
          <w:color w:val="000000"/>
          <w:sz w:val="24"/>
          <w:szCs w:val="24"/>
        </w:rPr>
        <w:t>adeguato contesto scenografico che ne ricrei gli ambienti originari</w:t>
      </w:r>
      <w:r w:rsidRPr="00C91A3F">
        <w:rPr>
          <w:rFonts w:asciiTheme="minorHAnsi" w:hAnsiTheme="minorHAnsi" w:cs="Arial"/>
          <w:color w:val="000000"/>
          <w:sz w:val="24"/>
          <w:szCs w:val="24"/>
        </w:rPr>
        <w:t>.</w:t>
      </w:r>
    </w:p>
    <w:p w:rsidR="00C91A3F" w:rsidRPr="00C91A3F" w:rsidRDefault="00C91A3F" w:rsidP="00C91A3F">
      <w:pPr>
        <w:jc w:val="both"/>
        <w:rPr>
          <w:rFonts w:asciiTheme="minorHAnsi" w:hAnsiTheme="minorHAnsi"/>
          <w:color w:val="000000"/>
          <w:sz w:val="24"/>
          <w:szCs w:val="24"/>
        </w:rPr>
      </w:pPr>
      <w:r w:rsidRPr="00C91A3F">
        <w:rPr>
          <w:rFonts w:asciiTheme="minorHAnsi" w:hAnsiTheme="minorHAnsi" w:cs="Arial"/>
          <w:color w:val="000000"/>
          <w:sz w:val="24"/>
          <w:szCs w:val="24"/>
        </w:rPr>
        <w:t xml:space="preserve">Il comitato scientifico - coordinato da </w:t>
      </w:r>
      <w:r w:rsidRPr="00C91A3F">
        <w:rPr>
          <w:rFonts w:asciiTheme="minorHAnsi" w:hAnsiTheme="minorHAnsi" w:cs="Arial"/>
          <w:b/>
          <w:bCs/>
          <w:color w:val="000000"/>
          <w:sz w:val="24"/>
          <w:szCs w:val="24"/>
        </w:rPr>
        <w:t>Adriano Màdaro</w:t>
      </w:r>
      <w:r w:rsidRPr="00C91A3F">
        <w:rPr>
          <w:rFonts w:asciiTheme="minorHAnsi" w:hAnsiTheme="minorHAnsi" w:cs="Arial"/>
          <w:color w:val="000000"/>
          <w:sz w:val="24"/>
          <w:szCs w:val="24"/>
        </w:rPr>
        <w:t xml:space="preserve">, già ideatore e curatore delle quattro mostre sul Celeste Impero e e della rassegna dedicata al Tibet appena conclusa che ha affascinato oltre 120 mila visitatori- composto da  </w:t>
      </w:r>
      <w:r w:rsidRPr="00C91A3F">
        <w:rPr>
          <w:rFonts w:asciiTheme="minorHAnsi" w:hAnsiTheme="minorHAnsi" w:cs="Arial"/>
          <w:b/>
          <w:bCs/>
          <w:color w:val="000000"/>
          <w:sz w:val="24"/>
          <w:szCs w:val="24"/>
        </w:rPr>
        <w:t>Marilia Albanese</w:t>
      </w:r>
      <w:r w:rsidRPr="00C91A3F">
        <w:rPr>
          <w:rFonts w:asciiTheme="minorHAnsi" w:hAnsiTheme="minorHAnsi" w:cs="Arial"/>
          <w:color w:val="000000"/>
          <w:sz w:val="24"/>
          <w:szCs w:val="24"/>
        </w:rPr>
        <w:t xml:space="preserve">, indologa d’ampia formazione e l’esperto d’arte indiana </w:t>
      </w:r>
      <w:r w:rsidRPr="00C91A3F">
        <w:rPr>
          <w:rFonts w:asciiTheme="minorHAnsi" w:hAnsiTheme="minorHAnsi" w:cs="Arial"/>
          <w:b/>
          <w:bCs/>
          <w:color w:val="000000"/>
          <w:sz w:val="24"/>
          <w:szCs w:val="24"/>
        </w:rPr>
        <w:t>Renzo Freschi</w:t>
      </w:r>
      <w:r w:rsidRPr="00C91A3F">
        <w:rPr>
          <w:rFonts w:asciiTheme="minorHAnsi" w:hAnsiTheme="minorHAnsi" w:cs="Arial"/>
          <w:color w:val="000000"/>
          <w:sz w:val="24"/>
          <w:szCs w:val="24"/>
        </w:rPr>
        <w:t xml:space="preserve">, insieme agli architetti </w:t>
      </w:r>
      <w:r w:rsidRPr="00C91A3F">
        <w:rPr>
          <w:rFonts w:asciiTheme="minorHAnsi" w:hAnsiTheme="minorHAnsi" w:cs="Arial"/>
          <w:b/>
          <w:bCs/>
          <w:color w:val="000000"/>
          <w:sz w:val="24"/>
          <w:szCs w:val="24"/>
        </w:rPr>
        <w:t>Marco Sala</w:t>
      </w:r>
      <w:r w:rsidRPr="00C91A3F">
        <w:rPr>
          <w:rFonts w:asciiTheme="minorHAnsi" w:hAnsiTheme="minorHAnsi" w:cs="Arial"/>
          <w:color w:val="000000"/>
          <w:sz w:val="24"/>
          <w:szCs w:val="24"/>
        </w:rPr>
        <w:t xml:space="preserve"> e </w:t>
      </w:r>
      <w:r w:rsidRPr="00C91A3F">
        <w:rPr>
          <w:rFonts w:asciiTheme="minorHAnsi" w:hAnsiTheme="minorHAnsi" w:cs="Arial"/>
          <w:b/>
          <w:bCs/>
          <w:color w:val="000000"/>
          <w:sz w:val="24"/>
          <w:szCs w:val="24"/>
        </w:rPr>
        <w:t>Giovanna Colombo</w:t>
      </w:r>
      <w:r w:rsidRPr="00C91A3F">
        <w:rPr>
          <w:rFonts w:asciiTheme="minorHAnsi" w:hAnsiTheme="minorHAnsi" w:cs="Arial"/>
          <w:color w:val="000000"/>
          <w:sz w:val="24"/>
          <w:szCs w:val="24"/>
        </w:rPr>
        <w:t xml:space="preserve">, ha studiato un particolare percorso espositivo articolato in due parti: </w:t>
      </w:r>
      <w:r w:rsidRPr="00C91A3F">
        <w:rPr>
          <w:rFonts w:asciiTheme="minorHAnsi" w:hAnsiTheme="minorHAnsi" w:cs="Arial"/>
          <w:b/>
          <w:bCs/>
          <w:i/>
          <w:iCs/>
          <w:color w:val="000000"/>
          <w:sz w:val="24"/>
          <w:szCs w:val="24"/>
        </w:rPr>
        <w:t>“L’arte nell’India Classica”</w:t>
      </w:r>
      <w:r w:rsidRPr="00C91A3F">
        <w:rPr>
          <w:rFonts w:asciiTheme="minorHAnsi" w:hAnsiTheme="minorHAnsi" w:cs="Arial"/>
          <w:color w:val="000000"/>
          <w:sz w:val="24"/>
          <w:szCs w:val="24"/>
        </w:rPr>
        <w:t xml:space="preserve"> e </w:t>
      </w:r>
      <w:r w:rsidRPr="00C91A3F">
        <w:rPr>
          <w:rFonts w:asciiTheme="minorHAnsi" w:hAnsiTheme="minorHAnsi" w:cs="Arial"/>
          <w:b/>
          <w:bCs/>
          <w:i/>
          <w:iCs/>
          <w:color w:val="000000"/>
          <w:sz w:val="24"/>
          <w:szCs w:val="24"/>
        </w:rPr>
        <w:t>“L’india dei Maharaja”</w:t>
      </w:r>
      <w:r w:rsidRPr="00C91A3F">
        <w:rPr>
          <w:rFonts w:asciiTheme="minorHAnsi" w:hAnsiTheme="minorHAnsi" w:cs="Arial"/>
          <w:color w:val="000000"/>
          <w:sz w:val="24"/>
          <w:szCs w:val="24"/>
        </w:rPr>
        <w:t xml:space="preserve">. Due poli, quello del Tempio e quello della Corte, che sfuggono al dualismo tipicamente occidentale tra sacro e profano e che nella cultura indiana non sono in nessun modo in contraddizione. Il cerimoniale dei templi è simile a quello del palazzo e la figura del re è ammantata di sacralità tanto da renderla divina. La saggezza tradizionale indiana, affinché l’esistenza umana sia significativa e armonica, impone l’impegno etico, ma anche il perseguimento del piacere; sostiene la frugalità, ma non svalorizza la ricchezza; incita al distacco, ma legittima la conquista del potere. </w:t>
      </w:r>
      <w:r w:rsidRPr="00C91A3F">
        <w:rPr>
          <w:rFonts w:asciiTheme="minorHAnsi" w:hAnsiTheme="minorHAnsi" w:cs="Arial"/>
          <w:b/>
          <w:bCs/>
          <w:color w:val="000000"/>
          <w:sz w:val="24"/>
          <w:szCs w:val="24"/>
        </w:rPr>
        <w:t xml:space="preserve">Benché il fine ultimo in buona parte della cultura indiana </w:t>
      </w:r>
      <w:r w:rsidRPr="00C91A3F">
        <w:rPr>
          <w:rFonts w:asciiTheme="minorHAnsi" w:hAnsiTheme="minorHAnsi" w:cs="Arial"/>
          <w:color w:val="000000"/>
          <w:sz w:val="24"/>
          <w:szCs w:val="24"/>
        </w:rPr>
        <w:t xml:space="preserve">– ma non in </w:t>
      </w:r>
      <w:r w:rsidRPr="00C91A3F">
        <w:rPr>
          <w:rFonts w:asciiTheme="minorHAnsi" w:hAnsiTheme="minorHAnsi" w:cs="Arial"/>
          <w:color w:val="000000"/>
          <w:sz w:val="24"/>
          <w:szCs w:val="24"/>
        </w:rPr>
        <w:lastRenderedPageBreak/>
        <w:t>tutta–</w:t>
      </w:r>
      <w:r w:rsidRPr="00C91A3F">
        <w:rPr>
          <w:rFonts w:asciiTheme="minorHAnsi" w:hAnsiTheme="minorHAnsi" w:cs="Arial"/>
          <w:b/>
          <w:bCs/>
          <w:color w:val="000000"/>
          <w:sz w:val="24"/>
          <w:szCs w:val="24"/>
        </w:rPr>
        <w:t xml:space="preserve"> sia la liberazione e il trascendimento del mondo doloroso e finito, la vita e i suoi istanti preziosi sono ampiamente celebrati, soprattutto nell’arte</w:t>
      </w:r>
      <w:r w:rsidRPr="00C91A3F">
        <w:rPr>
          <w:rFonts w:asciiTheme="minorHAnsi" w:hAnsiTheme="minorHAnsi" w:cs="Arial"/>
          <w:color w:val="000000"/>
          <w:sz w:val="24"/>
          <w:szCs w:val="24"/>
        </w:rPr>
        <w:t>.</w:t>
      </w:r>
    </w:p>
    <w:p w:rsidR="00C91A3F" w:rsidRPr="00C91A3F" w:rsidRDefault="00C91A3F" w:rsidP="00C91A3F">
      <w:pPr>
        <w:jc w:val="both"/>
        <w:rPr>
          <w:rFonts w:asciiTheme="minorHAnsi" w:hAnsiTheme="minorHAnsi"/>
          <w:color w:val="000000"/>
          <w:sz w:val="24"/>
          <w:szCs w:val="24"/>
        </w:rPr>
      </w:pPr>
      <w:r w:rsidRPr="00C91A3F">
        <w:rPr>
          <w:rFonts w:asciiTheme="minorHAnsi" w:hAnsiTheme="minorHAnsi" w:cs="Arial"/>
          <w:color w:val="000000"/>
          <w:sz w:val="24"/>
          <w:szCs w:val="24"/>
        </w:rPr>
        <w:t xml:space="preserve">La prima parte della mostra illustra, dunque, alcuni temi fondamentali della cultura indiana e include </w:t>
      </w:r>
      <w:r w:rsidRPr="00C91A3F">
        <w:rPr>
          <w:rFonts w:asciiTheme="minorHAnsi" w:hAnsiTheme="minorHAnsi" w:cs="Arial"/>
          <w:b/>
          <w:bCs/>
          <w:color w:val="000000"/>
          <w:sz w:val="24"/>
          <w:szCs w:val="24"/>
        </w:rPr>
        <w:t>sculture</w:t>
      </w:r>
      <w:r w:rsidRPr="00C91A3F">
        <w:rPr>
          <w:rFonts w:asciiTheme="minorHAnsi" w:hAnsiTheme="minorHAnsi" w:cs="Arial"/>
          <w:color w:val="000000"/>
          <w:sz w:val="24"/>
          <w:szCs w:val="24"/>
        </w:rPr>
        <w:t xml:space="preserve"> e </w:t>
      </w:r>
      <w:r w:rsidRPr="00C91A3F">
        <w:rPr>
          <w:rFonts w:asciiTheme="minorHAnsi" w:hAnsiTheme="minorHAnsi" w:cs="Arial"/>
          <w:b/>
          <w:bCs/>
          <w:color w:val="000000"/>
          <w:sz w:val="24"/>
          <w:szCs w:val="24"/>
        </w:rPr>
        <w:t>altorilievi in pietra</w:t>
      </w:r>
      <w:r w:rsidRPr="00C91A3F">
        <w:rPr>
          <w:rFonts w:asciiTheme="minorHAnsi" w:hAnsiTheme="minorHAnsi" w:cs="Arial"/>
          <w:color w:val="000000"/>
          <w:sz w:val="24"/>
          <w:szCs w:val="24"/>
        </w:rPr>
        <w:t xml:space="preserve">, </w:t>
      </w:r>
      <w:r w:rsidRPr="00C91A3F">
        <w:rPr>
          <w:rFonts w:asciiTheme="minorHAnsi" w:hAnsiTheme="minorHAnsi" w:cs="Arial"/>
          <w:b/>
          <w:bCs/>
          <w:color w:val="000000"/>
          <w:sz w:val="24"/>
          <w:szCs w:val="24"/>
        </w:rPr>
        <w:t>immagini in bronzo</w:t>
      </w:r>
      <w:r w:rsidRPr="00C91A3F">
        <w:rPr>
          <w:rFonts w:asciiTheme="minorHAnsi" w:hAnsiTheme="minorHAnsi" w:cs="Arial"/>
          <w:color w:val="000000"/>
          <w:sz w:val="24"/>
          <w:szCs w:val="24"/>
        </w:rPr>
        <w:t xml:space="preserve"> e </w:t>
      </w:r>
      <w:r w:rsidRPr="00C91A3F">
        <w:rPr>
          <w:rFonts w:asciiTheme="minorHAnsi" w:hAnsiTheme="minorHAnsi" w:cs="Arial"/>
          <w:b/>
          <w:bCs/>
          <w:color w:val="000000"/>
          <w:sz w:val="24"/>
          <w:szCs w:val="24"/>
        </w:rPr>
        <w:t>oggetti rituali</w:t>
      </w:r>
      <w:r w:rsidRPr="00C91A3F">
        <w:rPr>
          <w:rFonts w:asciiTheme="minorHAnsi" w:hAnsiTheme="minorHAnsi" w:cs="Arial"/>
          <w:color w:val="000000"/>
          <w:sz w:val="24"/>
          <w:szCs w:val="24"/>
        </w:rPr>
        <w:t xml:space="preserve"> provenienti </w:t>
      </w:r>
      <w:r w:rsidRPr="00C91A3F">
        <w:rPr>
          <w:rFonts w:asciiTheme="minorHAnsi" w:hAnsiTheme="minorHAnsi" w:cs="Arial"/>
          <w:b/>
          <w:bCs/>
          <w:color w:val="000000"/>
          <w:sz w:val="24"/>
          <w:szCs w:val="24"/>
        </w:rPr>
        <w:t>dall’ambito religioso</w:t>
      </w:r>
      <w:r w:rsidRPr="00C91A3F">
        <w:rPr>
          <w:rFonts w:asciiTheme="minorHAnsi" w:hAnsiTheme="minorHAnsi" w:cs="Arial"/>
          <w:color w:val="000000"/>
          <w:sz w:val="24"/>
          <w:szCs w:val="24"/>
        </w:rPr>
        <w:t xml:space="preserve">, corredati da miniature di soggetto affine, coprendo un arco di tempo che va </w:t>
      </w:r>
      <w:r w:rsidRPr="00C91A3F">
        <w:rPr>
          <w:rFonts w:asciiTheme="minorHAnsi" w:hAnsiTheme="minorHAnsi" w:cs="Arial"/>
          <w:b/>
          <w:bCs/>
          <w:color w:val="000000"/>
          <w:sz w:val="24"/>
          <w:szCs w:val="24"/>
        </w:rPr>
        <w:t>dal II millennio a.C fino al XVII sec</w:t>
      </w:r>
      <w:r w:rsidRPr="00C91A3F">
        <w:rPr>
          <w:rFonts w:asciiTheme="minorHAnsi" w:hAnsiTheme="minorHAnsi" w:cs="Arial"/>
          <w:color w:val="000000"/>
          <w:sz w:val="24"/>
          <w:szCs w:val="24"/>
        </w:rPr>
        <w:t>.</w:t>
      </w:r>
    </w:p>
    <w:p w:rsidR="00C91A3F" w:rsidRPr="00C91A3F" w:rsidRDefault="00C91A3F" w:rsidP="00C91A3F">
      <w:pPr>
        <w:jc w:val="both"/>
        <w:rPr>
          <w:rFonts w:asciiTheme="minorHAnsi" w:hAnsiTheme="minorHAnsi"/>
          <w:color w:val="000000"/>
          <w:sz w:val="24"/>
          <w:szCs w:val="24"/>
        </w:rPr>
      </w:pPr>
      <w:r w:rsidRPr="00C91A3F">
        <w:rPr>
          <w:rFonts w:asciiTheme="minorHAnsi" w:hAnsiTheme="minorHAnsi" w:cs="Arial"/>
          <w:color w:val="000000"/>
          <w:sz w:val="24"/>
          <w:szCs w:val="24"/>
        </w:rPr>
        <w:t xml:space="preserve">La prima sala è dedicata alle </w:t>
      </w:r>
      <w:r w:rsidRPr="00C91A3F">
        <w:rPr>
          <w:rFonts w:asciiTheme="minorHAnsi" w:hAnsiTheme="minorHAnsi" w:cs="Arial"/>
          <w:b/>
          <w:bCs/>
          <w:color w:val="000000"/>
          <w:sz w:val="24"/>
          <w:szCs w:val="24"/>
        </w:rPr>
        <w:t>religioni dell’India</w:t>
      </w:r>
      <w:r w:rsidRPr="00C91A3F">
        <w:rPr>
          <w:rFonts w:asciiTheme="minorHAnsi" w:hAnsiTheme="minorHAnsi" w:cs="Arial"/>
          <w:color w:val="000000"/>
          <w:sz w:val="24"/>
          <w:szCs w:val="24"/>
        </w:rPr>
        <w:t xml:space="preserve">: Hinduismo, Buddhismo, Jainismo e Sikhismo, le quattro autoctone, e la religione dei Parsi, il Cristianesimo e l’Islam, le tre importate; seguono due sale </w:t>
      </w:r>
      <w:r w:rsidRPr="00C91A3F">
        <w:rPr>
          <w:rFonts w:asciiTheme="minorHAnsi" w:hAnsiTheme="minorHAnsi" w:cs="Arial"/>
          <w:b/>
          <w:bCs/>
          <w:color w:val="000000"/>
          <w:sz w:val="24"/>
          <w:szCs w:val="24"/>
        </w:rPr>
        <w:t>sui miti e le grandi epopee</w:t>
      </w:r>
      <w:r w:rsidRPr="00C91A3F">
        <w:rPr>
          <w:rFonts w:asciiTheme="minorHAnsi" w:hAnsiTheme="minorHAnsi" w:cs="Arial"/>
          <w:color w:val="000000"/>
          <w:sz w:val="24"/>
          <w:szCs w:val="24"/>
        </w:rPr>
        <w:t xml:space="preserve">, che raccontano le storie divine e in modo particolare il </w:t>
      </w:r>
      <w:r w:rsidRPr="00C91A3F">
        <w:rPr>
          <w:rFonts w:asciiTheme="minorHAnsi" w:hAnsiTheme="minorHAnsi" w:cs="Arial"/>
          <w:b/>
          <w:bCs/>
          <w:i/>
          <w:iCs/>
          <w:color w:val="000000"/>
          <w:sz w:val="24"/>
          <w:szCs w:val="24"/>
        </w:rPr>
        <w:t>“Ramayana”</w:t>
      </w:r>
      <w:r w:rsidRPr="00C91A3F">
        <w:rPr>
          <w:rFonts w:asciiTheme="minorHAnsi" w:hAnsiTheme="minorHAnsi" w:cs="Arial"/>
          <w:color w:val="000000"/>
          <w:sz w:val="24"/>
          <w:szCs w:val="24"/>
        </w:rPr>
        <w:t xml:space="preserve"> e il </w:t>
      </w:r>
      <w:r w:rsidRPr="00C91A3F">
        <w:rPr>
          <w:rFonts w:asciiTheme="minorHAnsi" w:hAnsiTheme="minorHAnsi" w:cs="Arial"/>
          <w:b/>
          <w:bCs/>
          <w:i/>
          <w:iCs/>
          <w:color w:val="000000"/>
          <w:sz w:val="24"/>
          <w:szCs w:val="24"/>
        </w:rPr>
        <w:t>“Mahabharata”</w:t>
      </w:r>
      <w:r w:rsidRPr="00C91A3F">
        <w:rPr>
          <w:rFonts w:asciiTheme="minorHAnsi" w:hAnsiTheme="minorHAnsi" w:cs="Arial"/>
          <w:color w:val="000000"/>
          <w:sz w:val="24"/>
          <w:szCs w:val="24"/>
        </w:rPr>
        <w:t xml:space="preserve">;  si continua con la sala dedicata ai </w:t>
      </w:r>
      <w:r w:rsidRPr="00C91A3F">
        <w:rPr>
          <w:rFonts w:asciiTheme="minorHAnsi" w:hAnsiTheme="minorHAnsi" w:cs="Arial"/>
          <w:b/>
          <w:bCs/>
          <w:color w:val="000000"/>
          <w:sz w:val="24"/>
          <w:szCs w:val="24"/>
        </w:rPr>
        <w:t>rapporti tra India e Grecia</w:t>
      </w:r>
      <w:r w:rsidRPr="00C91A3F">
        <w:rPr>
          <w:rFonts w:asciiTheme="minorHAnsi" w:hAnsiTheme="minorHAnsi" w:cs="Arial"/>
          <w:color w:val="000000"/>
          <w:sz w:val="24"/>
          <w:szCs w:val="24"/>
        </w:rPr>
        <w:t xml:space="preserve">, che hanno prodotto la singolare arte del </w:t>
      </w:r>
      <w:r w:rsidRPr="00C91A3F">
        <w:rPr>
          <w:rFonts w:asciiTheme="minorHAnsi" w:hAnsiTheme="minorHAnsi" w:cs="Arial"/>
          <w:b/>
          <w:bCs/>
          <w:i/>
          <w:iCs/>
          <w:color w:val="000000"/>
          <w:sz w:val="24"/>
          <w:szCs w:val="24"/>
        </w:rPr>
        <w:t>Gandhara</w:t>
      </w:r>
      <w:r w:rsidRPr="00C91A3F">
        <w:rPr>
          <w:rFonts w:asciiTheme="minorHAnsi" w:hAnsiTheme="minorHAnsi" w:cs="Arial"/>
          <w:color w:val="000000"/>
          <w:sz w:val="24"/>
          <w:szCs w:val="24"/>
        </w:rPr>
        <w:t xml:space="preserve">; la straordinaria ricchezza del pantheon hindu si dipana nelle </w:t>
      </w:r>
      <w:r w:rsidRPr="00C91A3F">
        <w:rPr>
          <w:rFonts w:asciiTheme="minorHAnsi" w:hAnsiTheme="minorHAnsi" w:cs="Arial"/>
          <w:b/>
          <w:bCs/>
          <w:color w:val="000000"/>
          <w:sz w:val="24"/>
          <w:szCs w:val="24"/>
        </w:rPr>
        <w:t>cinque sale in onore degli dei dell’India</w:t>
      </w:r>
      <w:r w:rsidRPr="00C91A3F">
        <w:rPr>
          <w:rFonts w:asciiTheme="minorHAnsi" w:hAnsiTheme="minorHAnsi" w:cs="Arial"/>
          <w:color w:val="000000"/>
          <w:sz w:val="24"/>
          <w:szCs w:val="24"/>
        </w:rPr>
        <w:t>: la Dea, Shiva, Vishnu e le sue incarnazioni provvidenziali sulla terra, Krishna. Le ultime tre sale del percorso si soffermano sulla rappresentazione del corpo umano, maschile e femminile, e sull’arte erotica.</w:t>
      </w:r>
    </w:p>
    <w:p w:rsidR="00C91A3F" w:rsidRPr="00C91A3F" w:rsidRDefault="00C91A3F" w:rsidP="00C91A3F">
      <w:pPr>
        <w:jc w:val="both"/>
        <w:rPr>
          <w:rFonts w:asciiTheme="minorHAnsi" w:hAnsiTheme="minorHAnsi"/>
          <w:color w:val="000000"/>
          <w:sz w:val="24"/>
          <w:szCs w:val="24"/>
        </w:rPr>
      </w:pPr>
      <w:r w:rsidRPr="00C91A3F">
        <w:rPr>
          <w:rFonts w:asciiTheme="minorHAnsi" w:hAnsiTheme="minorHAnsi" w:cs="Arial"/>
          <w:color w:val="000000"/>
          <w:sz w:val="24"/>
          <w:szCs w:val="24"/>
        </w:rPr>
        <w:t xml:space="preserve">Il </w:t>
      </w:r>
      <w:r w:rsidRPr="00C91A3F">
        <w:rPr>
          <w:rFonts w:asciiTheme="minorHAnsi" w:hAnsiTheme="minorHAnsi" w:cs="Arial"/>
          <w:b/>
          <w:bCs/>
          <w:color w:val="000000"/>
          <w:sz w:val="24"/>
          <w:szCs w:val="24"/>
        </w:rPr>
        <w:t>mondo delle corti opulente e dei maharaja</w:t>
      </w:r>
      <w:r w:rsidRPr="00C91A3F">
        <w:rPr>
          <w:rFonts w:asciiTheme="minorHAnsi" w:hAnsiTheme="minorHAnsi" w:cs="Arial"/>
          <w:color w:val="000000"/>
          <w:sz w:val="24"/>
          <w:szCs w:val="24"/>
        </w:rPr>
        <w:t xml:space="preserve">, sovrani ricchissimi ed eccentrici, che tanto hanno colpito l’immaginario europeo  è ricostruito, nella seconda parte della mostra, attraverso i colori brillanti dei </w:t>
      </w:r>
      <w:r w:rsidRPr="00C91A3F">
        <w:rPr>
          <w:rFonts w:asciiTheme="minorHAnsi" w:hAnsiTheme="minorHAnsi" w:cs="Arial"/>
          <w:b/>
          <w:bCs/>
          <w:color w:val="000000"/>
          <w:sz w:val="24"/>
          <w:szCs w:val="24"/>
        </w:rPr>
        <w:t xml:space="preserve">dipinti </w:t>
      </w:r>
      <w:r w:rsidRPr="00C91A3F">
        <w:rPr>
          <w:rFonts w:asciiTheme="minorHAnsi" w:hAnsiTheme="minorHAnsi" w:cs="Arial"/>
          <w:color w:val="000000"/>
          <w:sz w:val="24"/>
          <w:szCs w:val="24"/>
        </w:rPr>
        <w:t xml:space="preserve">e delle </w:t>
      </w:r>
      <w:r w:rsidRPr="00C91A3F">
        <w:rPr>
          <w:rFonts w:asciiTheme="minorHAnsi" w:hAnsiTheme="minorHAnsi" w:cs="Arial"/>
          <w:b/>
          <w:bCs/>
          <w:color w:val="000000"/>
          <w:sz w:val="24"/>
          <w:szCs w:val="24"/>
        </w:rPr>
        <w:t>miniature d’epoca</w:t>
      </w:r>
      <w:r w:rsidRPr="00C91A3F">
        <w:rPr>
          <w:rFonts w:asciiTheme="minorHAnsi" w:hAnsiTheme="minorHAnsi" w:cs="Arial"/>
          <w:color w:val="000000"/>
          <w:sz w:val="24"/>
          <w:szCs w:val="24"/>
        </w:rPr>
        <w:t xml:space="preserve"> e reso tangibile dai </w:t>
      </w:r>
      <w:r w:rsidRPr="00C91A3F">
        <w:rPr>
          <w:rFonts w:asciiTheme="minorHAnsi" w:hAnsiTheme="minorHAnsi" w:cs="Arial"/>
          <w:b/>
          <w:bCs/>
          <w:color w:val="000000"/>
          <w:sz w:val="24"/>
          <w:szCs w:val="24"/>
        </w:rPr>
        <w:t>sontuosi costumi</w:t>
      </w:r>
      <w:r w:rsidRPr="00C91A3F">
        <w:rPr>
          <w:rFonts w:asciiTheme="minorHAnsi" w:hAnsiTheme="minorHAnsi" w:cs="Arial"/>
          <w:color w:val="000000"/>
          <w:sz w:val="24"/>
          <w:szCs w:val="24"/>
        </w:rPr>
        <w:t xml:space="preserve">, dagli </w:t>
      </w:r>
      <w:r w:rsidRPr="00C91A3F">
        <w:rPr>
          <w:rFonts w:asciiTheme="minorHAnsi" w:hAnsiTheme="minorHAnsi" w:cs="Arial"/>
          <w:b/>
          <w:bCs/>
          <w:color w:val="000000"/>
          <w:sz w:val="24"/>
          <w:szCs w:val="24"/>
        </w:rPr>
        <w:t>splendidi gioielli</w:t>
      </w:r>
      <w:r w:rsidRPr="00C91A3F">
        <w:rPr>
          <w:rFonts w:asciiTheme="minorHAnsi" w:hAnsiTheme="minorHAnsi" w:cs="Arial"/>
          <w:color w:val="000000"/>
          <w:sz w:val="24"/>
          <w:szCs w:val="24"/>
        </w:rPr>
        <w:t xml:space="preserve">, dalle </w:t>
      </w:r>
      <w:r w:rsidRPr="00C91A3F">
        <w:rPr>
          <w:rFonts w:asciiTheme="minorHAnsi" w:hAnsiTheme="minorHAnsi" w:cs="Arial"/>
          <w:b/>
          <w:bCs/>
          <w:color w:val="000000"/>
          <w:sz w:val="24"/>
          <w:szCs w:val="24"/>
        </w:rPr>
        <w:t>armi raffinate</w:t>
      </w:r>
      <w:r w:rsidRPr="00C91A3F">
        <w:rPr>
          <w:rFonts w:asciiTheme="minorHAnsi" w:hAnsiTheme="minorHAnsi" w:cs="Arial"/>
          <w:color w:val="000000"/>
          <w:sz w:val="24"/>
          <w:szCs w:val="24"/>
        </w:rPr>
        <w:t xml:space="preserve"> e dagli </w:t>
      </w:r>
      <w:r w:rsidRPr="00C91A3F">
        <w:rPr>
          <w:rFonts w:asciiTheme="minorHAnsi" w:hAnsiTheme="minorHAnsi" w:cs="Arial"/>
          <w:b/>
          <w:bCs/>
          <w:color w:val="000000"/>
          <w:sz w:val="24"/>
          <w:szCs w:val="24"/>
        </w:rPr>
        <w:t>oggetti preziosi</w:t>
      </w:r>
      <w:r w:rsidRPr="00C91A3F">
        <w:rPr>
          <w:rFonts w:asciiTheme="minorHAnsi" w:hAnsiTheme="minorHAnsi" w:cs="Arial"/>
          <w:color w:val="000000"/>
          <w:sz w:val="24"/>
          <w:szCs w:val="24"/>
        </w:rPr>
        <w:t xml:space="preserve">, con un’ampia sezione che offre una serie di </w:t>
      </w:r>
      <w:r w:rsidRPr="00C91A3F">
        <w:rPr>
          <w:rFonts w:asciiTheme="minorHAnsi" w:hAnsiTheme="minorHAnsi" w:cs="Arial"/>
          <w:b/>
          <w:bCs/>
          <w:color w:val="000000"/>
          <w:sz w:val="24"/>
          <w:szCs w:val="24"/>
        </w:rPr>
        <w:t>fotografie di fine Ottocento/inizi Novecento</w:t>
      </w:r>
      <w:r w:rsidRPr="00C91A3F">
        <w:rPr>
          <w:rFonts w:asciiTheme="minorHAnsi" w:hAnsiTheme="minorHAnsi" w:cs="Arial"/>
          <w:color w:val="000000"/>
          <w:sz w:val="24"/>
          <w:szCs w:val="24"/>
        </w:rPr>
        <w:t>, suggestive testimonianze di un tempo che fu.</w:t>
      </w:r>
    </w:p>
    <w:p w:rsidR="00C91A3F" w:rsidRPr="00C91A3F" w:rsidRDefault="00C91A3F" w:rsidP="00C91A3F">
      <w:pPr>
        <w:jc w:val="both"/>
        <w:rPr>
          <w:rFonts w:asciiTheme="minorHAnsi" w:hAnsiTheme="minorHAnsi"/>
          <w:color w:val="000000"/>
          <w:sz w:val="24"/>
          <w:szCs w:val="24"/>
        </w:rPr>
      </w:pPr>
      <w:r w:rsidRPr="00C91A3F">
        <w:rPr>
          <w:rFonts w:asciiTheme="minorHAnsi" w:hAnsiTheme="minorHAnsi" w:cs="Arial"/>
          <w:color w:val="000000"/>
          <w:sz w:val="24"/>
          <w:szCs w:val="24"/>
        </w:rPr>
        <w:t xml:space="preserve">L’ultima tappa è dedicata ai </w:t>
      </w:r>
      <w:r w:rsidRPr="00C91A3F">
        <w:rPr>
          <w:rFonts w:asciiTheme="minorHAnsi" w:hAnsiTheme="minorHAnsi" w:cs="Arial"/>
          <w:b/>
          <w:bCs/>
          <w:color w:val="000000"/>
          <w:sz w:val="24"/>
          <w:szCs w:val="24"/>
        </w:rPr>
        <w:t>rapporti fra Italia e India</w:t>
      </w:r>
      <w:r w:rsidRPr="00C91A3F">
        <w:rPr>
          <w:rFonts w:asciiTheme="minorHAnsi" w:hAnsiTheme="minorHAnsi" w:cs="Arial"/>
          <w:color w:val="000000"/>
          <w:sz w:val="24"/>
          <w:szCs w:val="24"/>
        </w:rPr>
        <w:t xml:space="preserve">, le cui origini risalgono addirittura all’epoca romana. Molti furono, infatti,  viaggiatori, avventurieri e ricercatori del sacro presero la </w:t>
      </w:r>
      <w:r w:rsidRPr="00C91A3F">
        <w:rPr>
          <w:rFonts w:asciiTheme="minorHAnsi" w:hAnsiTheme="minorHAnsi" w:cs="Arial"/>
          <w:b/>
          <w:bCs/>
          <w:i/>
          <w:iCs/>
          <w:color w:val="000000"/>
          <w:sz w:val="24"/>
          <w:szCs w:val="24"/>
        </w:rPr>
        <w:t>“via delle Indie”</w:t>
      </w:r>
      <w:r w:rsidRPr="00C91A3F">
        <w:rPr>
          <w:rFonts w:asciiTheme="minorHAnsi" w:hAnsiTheme="minorHAnsi" w:cs="Arial"/>
          <w:color w:val="000000"/>
          <w:sz w:val="24"/>
          <w:szCs w:val="24"/>
        </w:rPr>
        <w:t xml:space="preserve">: l’apostolo </w:t>
      </w:r>
      <w:r w:rsidRPr="00C91A3F">
        <w:rPr>
          <w:rFonts w:asciiTheme="minorHAnsi" w:hAnsiTheme="minorHAnsi" w:cs="Arial"/>
          <w:b/>
          <w:bCs/>
          <w:color w:val="000000"/>
          <w:sz w:val="24"/>
          <w:szCs w:val="24"/>
        </w:rPr>
        <w:t>Tommaso</w:t>
      </w:r>
      <w:r w:rsidRPr="00C91A3F">
        <w:rPr>
          <w:rFonts w:asciiTheme="minorHAnsi" w:hAnsiTheme="minorHAnsi" w:cs="Arial"/>
          <w:color w:val="000000"/>
          <w:sz w:val="24"/>
          <w:szCs w:val="24"/>
        </w:rPr>
        <w:t xml:space="preserve">, il grande </w:t>
      </w:r>
      <w:r w:rsidRPr="00C91A3F">
        <w:rPr>
          <w:rFonts w:asciiTheme="minorHAnsi" w:hAnsiTheme="minorHAnsi" w:cs="Arial"/>
          <w:b/>
          <w:bCs/>
          <w:color w:val="000000"/>
          <w:sz w:val="24"/>
          <w:szCs w:val="24"/>
        </w:rPr>
        <w:t>Marco Polo</w:t>
      </w:r>
      <w:r w:rsidRPr="00C91A3F">
        <w:rPr>
          <w:rFonts w:asciiTheme="minorHAnsi" w:hAnsiTheme="minorHAnsi" w:cs="Arial"/>
          <w:color w:val="000000"/>
          <w:sz w:val="24"/>
          <w:szCs w:val="24"/>
        </w:rPr>
        <w:t xml:space="preserve">, </w:t>
      </w:r>
      <w:r w:rsidRPr="00C91A3F">
        <w:rPr>
          <w:rFonts w:asciiTheme="minorHAnsi" w:hAnsiTheme="minorHAnsi" w:cs="Arial"/>
          <w:b/>
          <w:bCs/>
          <w:color w:val="000000"/>
          <w:sz w:val="24"/>
          <w:szCs w:val="24"/>
        </w:rPr>
        <w:t>Niccolò Manucci</w:t>
      </w:r>
      <w:r w:rsidRPr="00C91A3F">
        <w:rPr>
          <w:rFonts w:asciiTheme="minorHAnsi" w:hAnsiTheme="minorHAnsi" w:cs="Arial"/>
          <w:color w:val="000000"/>
          <w:sz w:val="24"/>
          <w:szCs w:val="24"/>
        </w:rPr>
        <w:t xml:space="preserve">, che fece fortuna come medico alla corte dei Moghul, e tanti altri passati alla storia.  Tutti cercavano un’India immaginata, di volta in volta terra di favolose ricchezze e di avventure mirabolanti, fonte di saggezza e di spiritualità, luogo di vita ascetica e di raffinato erotismo. Ci fu anche chi in India non andò mai, come il veneto </w:t>
      </w:r>
      <w:r w:rsidRPr="00C91A3F">
        <w:rPr>
          <w:rFonts w:asciiTheme="minorHAnsi" w:hAnsiTheme="minorHAnsi" w:cs="Arial"/>
          <w:b/>
          <w:bCs/>
          <w:color w:val="000000"/>
          <w:sz w:val="24"/>
          <w:szCs w:val="24"/>
        </w:rPr>
        <w:t>Emilio Salgàri</w:t>
      </w:r>
      <w:r w:rsidRPr="00C91A3F">
        <w:rPr>
          <w:rFonts w:asciiTheme="minorHAnsi" w:hAnsiTheme="minorHAnsi" w:cs="Arial"/>
          <w:color w:val="000000"/>
          <w:sz w:val="24"/>
          <w:szCs w:val="24"/>
        </w:rPr>
        <w:t>, che tuttavia seppe con le pagine dei suoi romanzi affascinare intere generazioni di lettori.</w:t>
      </w:r>
    </w:p>
    <w:p w:rsidR="00C91A3F" w:rsidRDefault="00C91A3F" w:rsidP="00C91A3F">
      <w:pPr>
        <w:pBdr>
          <w:bottom w:val="single" w:sz="12" w:space="1" w:color="auto"/>
        </w:pBdr>
        <w:jc w:val="both"/>
        <w:rPr>
          <w:rFonts w:asciiTheme="minorHAnsi" w:hAnsiTheme="minorHAnsi" w:cs="Arial"/>
          <w:color w:val="000000"/>
          <w:sz w:val="24"/>
          <w:szCs w:val="24"/>
        </w:rPr>
      </w:pPr>
      <w:r w:rsidRPr="00C91A3F">
        <w:rPr>
          <w:rFonts w:asciiTheme="minorHAnsi" w:hAnsiTheme="minorHAnsi" w:cs="Arial"/>
          <w:color w:val="000000"/>
          <w:sz w:val="24"/>
          <w:szCs w:val="24"/>
        </w:rPr>
        <w:t xml:space="preserve">Ed è proprio un viaggio entusiasmante quello che la mostra si propone di offrire ai visitatori: La leggenda di Sandokan e l’epoca favolosa dei Maharaja; il fruscio delle sete dai mille colori cangianti e lo scintillio dei gioielli; le statue delle divinità più sinuose e gli arazzi più pregiati.  Presentando gli </w:t>
      </w:r>
      <w:r w:rsidRPr="00C91A3F">
        <w:rPr>
          <w:rFonts w:asciiTheme="minorHAnsi" w:hAnsiTheme="minorHAnsi" w:cs="Arial"/>
          <w:b/>
          <w:bCs/>
          <w:color w:val="000000"/>
          <w:sz w:val="24"/>
          <w:szCs w:val="24"/>
        </w:rPr>
        <w:t>aspetti salienti e affascinanti di un Paese dalla cultura plurimillenaria, oggi alla ribalta del mondo</w:t>
      </w:r>
      <w:r w:rsidRPr="00C91A3F">
        <w:rPr>
          <w:rFonts w:asciiTheme="minorHAnsi" w:hAnsiTheme="minorHAnsi" w:cs="Arial"/>
          <w:color w:val="000000"/>
          <w:sz w:val="24"/>
          <w:szCs w:val="24"/>
        </w:rPr>
        <w:t>.</w:t>
      </w:r>
    </w:p>
    <w:p w:rsidR="00C91A3F" w:rsidRDefault="00C91A3F" w:rsidP="00C91A3F">
      <w:pPr>
        <w:pBdr>
          <w:bottom w:val="single" w:sz="12" w:space="1" w:color="auto"/>
        </w:pBdr>
        <w:jc w:val="both"/>
        <w:rPr>
          <w:rFonts w:asciiTheme="minorHAnsi" w:hAnsiTheme="minorHAnsi" w:cs="Arial"/>
          <w:color w:val="000000"/>
          <w:sz w:val="24"/>
          <w:szCs w:val="24"/>
        </w:rPr>
      </w:pP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b/>
          <w:bCs/>
          <w:i/>
          <w:iCs/>
          <w:color w:val="C00000"/>
        </w:rPr>
        <w:t>MAGIE DELL’INDIA, Treviso, Casa dei Carraresi, dal 26 ottobre 2013 al 31 maggio 2014.</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color w:val="000000"/>
        </w:rPr>
        <w:t xml:space="preserve">Mostra promossa da </w:t>
      </w:r>
      <w:r w:rsidRPr="00C91A3F">
        <w:rPr>
          <w:rFonts w:asciiTheme="minorHAnsi" w:hAnsiTheme="minorHAnsi" w:cs="Arial"/>
          <w:b/>
          <w:bCs/>
          <w:color w:val="000000"/>
        </w:rPr>
        <w:t>FONDAZIONE CASSAMARCA</w:t>
      </w:r>
      <w:r w:rsidRPr="00C91A3F">
        <w:rPr>
          <w:rFonts w:asciiTheme="minorHAnsi" w:hAnsiTheme="minorHAnsi" w:cs="Arial"/>
          <w:color w:val="000000"/>
        </w:rPr>
        <w:t xml:space="preserve"> e organizzata da </w:t>
      </w:r>
      <w:r w:rsidRPr="00C91A3F">
        <w:rPr>
          <w:rFonts w:asciiTheme="minorHAnsi" w:hAnsiTheme="minorHAnsi" w:cs="Arial"/>
          <w:b/>
          <w:bCs/>
          <w:color w:val="000000"/>
        </w:rPr>
        <w:t>SIGILLUM</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color w:val="000000"/>
        </w:rPr>
        <w:t> </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color w:val="000000"/>
        </w:rPr>
        <w:t>Curatori</w:t>
      </w:r>
      <w:r w:rsidRPr="00C91A3F">
        <w:rPr>
          <w:rFonts w:asciiTheme="minorHAnsi" w:hAnsiTheme="minorHAnsi" w:cs="Arial"/>
          <w:color w:val="990000"/>
        </w:rPr>
        <w:t xml:space="preserve">: </w:t>
      </w:r>
      <w:r w:rsidRPr="00C91A3F">
        <w:rPr>
          <w:rFonts w:asciiTheme="minorHAnsi" w:hAnsiTheme="minorHAnsi" w:cs="Arial"/>
          <w:b/>
          <w:bCs/>
          <w:color w:val="C00000"/>
        </w:rPr>
        <w:t>MARILIA ALBANESE, RENZO FRESCHI E ADRIANO MÀDARO</w:t>
      </w:r>
      <w:r w:rsidRPr="00C91A3F">
        <w:rPr>
          <w:rFonts w:asciiTheme="minorHAnsi" w:hAnsiTheme="minorHAnsi" w:cs="Arial"/>
          <w:b/>
          <w:bCs/>
          <w:color w:val="990000"/>
        </w:rPr>
        <w:t>.</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color w:val="000000"/>
        </w:rPr>
        <w:t> </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color w:val="000000"/>
        </w:rPr>
        <w:lastRenderedPageBreak/>
        <w:t xml:space="preserve">Main Sponsor: </w:t>
      </w:r>
      <w:r w:rsidRPr="00C91A3F">
        <w:rPr>
          <w:rFonts w:asciiTheme="minorHAnsi" w:hAnsiTheme="minorHAnsi" w:cs="Arial"/>
          <w:b/>
          <w:bCs/>
          <w:color w:val="000000"/>
        </w:rPr>
        <w:t>UNICREDIT.</w:t>
      </w:r>
      <w:r w:rsidRPr="00C91A3F">
        <w:rPr>
          <w:rFonts w:asciiTheme="minorHAnsi" w:hAnsiTheme="minorHAnsi" w:cs="Arial"/>
          <w:color w:val="000000"/>
        </w:rPr>
        <w:t xml:space="preserve"> Pr</w:t>
      </w:r>
      <w:bookmarkStart w:id="0" w:name="_GoBack"/>
      <w:bookmarkEnd w:id="0"/>
      <w:r w:rsidRPr="00C91A3F">
        <w:rPr>
          <w:rFonts w:asciiTheme="minorHAnsi" w:hAnsiTheme="minorHAnsi" w:cs="Arial"/>
          <w:color w:val="000000"/>
        </w:rPr>
        <w:t xml:space="preserve">enotazioni Turistiche: </w:t>
      </w:r>
      <w:r w:rsidRPr="00C91A3F">
        <w:rPr>
          <w:rFonts w:asciiTheme="minorHAnsi" w:hAnsiTheme="minorHAnsi" w:cs="Arial"/>
          <w:b/>
          <w:bCs/>
          <w:color w:val="000000"/>
        </w:rPr>
        <w:t xml:space="preserve">CONSORZIO DI PROMOZIONE TURISTICA MARCA TREVISO, Collaborazioni: GRUPPO SOTREVA, ASSOCIAZIONE MARCA TREVIGIANA, STUDIO LEONARDO. </w:t>
      </w:r>
    </w:p>
    <w:p w:rsidR="00C91A3F" w:rsidRPr="00C91A3F" w:rsidRDefault="00C91A3F" w:rsidP="00C91A3F">
      <w:pPr>
        <w:spacing w:after="0" w:line="240" w:lineRule="auto"/>
        <w:jc w:val="center"/>
        <w:rPr>
          <w:rFonts w:asciiTheme="minorHAnsi" w:hAnsiTheme="minorHAnsi"/>
          <w:color w:val="000000"/>
        </w:rPr>
      </w:pPr>
      <w:r w:rsidRPr="00C91A3F">
        <w:rPr>
          <w:rFonts w:asciiTheme="minorHAnsi" w:hAnsiTheme="minorHAnsi" w:cs="Arial"/>
          <w:b/>
          <w:bCs/>
          <w:color w:val="C00000"/>
        </w:rPr>
        <w:br/>
        <w:t>Con il Patrocinio del Comune di Treviso.</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b/>
          <w:bCs/>
          <w:color w:val="000000"/>
        </w:rPr>
        <w:t> </w:t>
      </w:r>
      <w:r w:rsidRPr="00C91A3F">
        <w:rPr>
          <w:rFonts w:asciiTheme="minorHAnsi" w:hAnsiTheme="minorHAnsi" w:cs="Arial"/>
          <w:b/>
          <w:bCs/>
          <w:color w:val="000000"/>
        </w:rPr>
        <w:br/>
        <w:t>Orario</w:t>
      </w:r>
      <w:r w:rsidRPr="00C91A3F">
        <w:rPr>
          <w:rFonts w:asciiTheme="minorHAnsi" w:hAnsiTheme="minorHAnsi" w:cs="Arial"/>
          <w:color w:val="000000"/>
        </w:rPr>
        <w:t>: dal Lunedì al Venerdì 9.00-19.00- Sabato e Domenica 9.00-20.00</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color w:val="000000"/>
        </w:rPr>
        <w:t>Chiusure: 25 e 31 Dicembre - Apertura straordinaria:  1 gennaio 2014 14.00-20.00</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color w:val="000000"/>
        </w:rPr>
        <w:t> </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b/>
          <w:bCs/>
          <w:color w:val="000000"/>
        </w:rPr>
        <w:t>Biglietto unico</w:t>
      </w:r>
      <w:r w:rsidRPr="00C91A3F">
        <w:rPr>
          <w:rFonts w:asciiTheme="minorHAnsi" w:hAnsiTheme="minorHAnsi" w:cs="Arial"/>
          <w:color w:val="000000"/>
        </w:rPr>
        <w:t>: euro 13,00 (compresa audioguida). Biglietto ragazzi: euro 10,00 (dai 6 ai 18 anni  compresa audioguida).</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b/>
          <w:bCs/>
          <w:color w:val="000000"/>
        </w:rPr>
        <w:t>Biglietto famiglia</w:t>
      </w:r>
      <w:r w:rsidRPr="00C91A3F">
        <w:rPr>
          <w:rFonts w:asciiTheme="minorHAnsi" w:hAnsiTheme="minorHAnsi" w:cs="Arial"/>
          <w:color w:val="000000"/>
        </w:rPr>
        <w:t xml:space="preserve">: euro 40,00 (2 adulti + 2 ragazzi fino ai 18 anni). Biglietto gruppi: euro 11,00 + euro1,00 (diritto di prevendita). </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b/>
          <w:bCs/>
          <w:color w:val="000000"/>
        </w:rPr>
        <w:t>Biglietto scuole</w:t>
      </w:r>
      <w:r w:rsidRPr="00C91A3F">
        <w:rPr>
          <w:rFonts w:asciiTheme="minorHAnsi" w:hAnsiTheme="minorHAnsi" w:cs="Arial"/>
          <w:color w:val="000000"/>
        </w:rPr>
        <w:t xml:space="preserve">: euro 5,00. Biglietto unico </w:t>
      </w:r>
      <w:r w:rsidRPr="00C91A3F">
        <w:rPr>
          <w:rFonts w:asciiTheme="minorHAnsi" w:hAnsiTheme="minorHAnsi" w:cs="Arial"/>
          <w:i/>
          <w:iCs/>
          <w:color w:val="000000"/>
        </w:rPr>
        <w:t xml:space="preserve">“Visita la mostra il Lunedì” </w:t>
      </w:r>
      <w:r w:rsidRPr="00C91A3F">
        <w:rPr>
          <w:rFonts w:asciiTheme="minorHAnsi" w:hAnsiTheme="minorHAnsi" w:cs="Arial"/>
          <w:color w:val="000000"/>
        </w:rPr>
        <w:t xml:space="preserve">euro 10,00 eccetto i festivi ( per gruppi + euro 1 di prevendita). </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b/>
          <w:bCs/>
          <w:color w:val="000000"/>
        </w:rPr>
        <w:t>Biglietto speciale aperto</w:t>
      </w:r>
      <w:r w:rsidRPr="00C91A3F">
        <w:rPr>
          <w:rFonts w:asciiTheme="minorHAnsi" w:hAnsiTheme="minorHAnsi" w:cs="Arial"/>
          <w:color w:val="000000"/>
        </w:rPr>
        <w:t xml:space="preserve"> € 15,00 (compresa audioguida) </w:t>
      </w:r>
      <w:r w:rsidRPr="00C91A3F">
        <w:rPr>
          <w:rFonts w:asciiTheme="minorHAnsi" w:hAnsiTheme="minorHAnsi" w:cs="Arial"/>
          <w:i/>
          <w:iCs/>
          <w:color w:val="000000"/>
        </w:rPr>
        <w:t>per visitare la mostra quando si preferisce o per regalarlo a chi si desidera: acquistabile presso la sede espositiva dal 1 maggio 2013 o tramite prenotazione telefonica e successivo pagamento a mezzo bonifico bancario</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color w:val="000000"/>
        </w:rPr>
        <w:t> </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b/>
          <w:bCs/>
          <w:color w:val="000000"/>
        </w:rPr>
        <w:t>Visite Guidate</w:t>
      </w:r>
      <w:r w:rsidRPr="00C91A3F">
        <w:rPr>
          <w:rFonts w:asciiTheme="minorHAnsi" w:hAnsiTheme="minorHAnsi" w:cs="Arial"/>
          <w:color w:val="000000"/>
        </w:rPr>
        <w:t xml:space="preserve"> (PREVIA   PRENOTAZIONE): Gruppo adulti (da 10 a 25 persone) euro 110,00 + costo del biglietto (in lingua straniera € 125,00 + costo del biglietto). Gruppo scuole euro 25,00 + costo del biglietto (in lingua straniera € 40.00 + costo del biglietto). Laboratorio + visita guidata euro 50,00 + costo del biglietto).</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color w:val="000000"/>
        </w:rPr>
        <w:t xml:space="preserve">Gruppi in orario di chiusura al pubblico € 150,00 + biglietto € 13.00 </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color w:val="000000"/>
        </w:rPr>
        <w:t>Gruppi di singoli visitatori: ogni domenica alle ore 17.00 al prezzo di  € 7.00 a persona + costo del biglietto.</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color w:val="000000"/>
        </w:rPr>
        <w:t>Visite Guidate (SENZA  PRENOTAZIONE):  Secondo la disponibilità del personale ( da 10 a 25 persone) e 10.00 a persona + costo del biglietto</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color w:val="000000"/>
        </w:rPr>
        <w:t>Le visite guidate verranno effettuate con l’ausilio di un sistema radiomicrofonico dotato di auricolari (a eccezione delle scuole) compreso nel prezzo della visita guidata. Per gruppi con guida propria è obbligatorio il noleggio del sistema radiomicrofonico ad un costo di € 50,00</w:t>
      </w:r>
    </w:p>
    <w:p w:rsidR="00C91A3F" w:rsidRPr="00C91A3F" w:rsidRDefault="00C91A3F" w:rsidP="00C91A3F">
      <w:pPr>
        <w:spacing w:after="240" w:line="240" w:lineRule="auto"/>
        <w:rPr>
          <w:rFonts w:asciiTheme="minorHAnsi" w:hAnsiTheme="minorHAnsi"/>
          <w:color w:val="000000"/>
        </w:rPr>
      </w:pPr>
      <w:r w:rsidRPr="00C91A3F">
        <w:rPr>
          <w:rFonts w:asciiTheme="minorHAnsi" w:hAnsiTheme="minorHAnsi" w:cs="Arial"/>
          <w:color w:val="000000"/>
        </w:rPr>
        <w:t>Guardaroba: gruppo adulti € 10.00; gruppo scuole gratuito; Singoli visitatori  € 1.00</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b/>
          <w:bCs/>
          <w:color w:val="C00000"/>
        </w:rPr>
        <w:t>Al piano terra sarà allestita per tutto il periodo anche la Mostra Internazionale dell’illustrazione per l’infanzia “</w:t>
      </w:r>
      <w:r w:rsidRPr="00C91A3F">
        <w:rPr>
          <w:rFonts w:asciiTheme="minorHAnsi" w:hAnsiTheme="minorHAnsi" w:cs="Arial"/>
          <w:b/>
          <w:bCs/>
          <w:i/>
          <w:iCs/>
          <w:color w:val="C00000"/>
        </w:rPr>
        <w:t>FIABE DALL’INDIA</w:t>
      </w:r>
      <w:r w:rsidRPr="00C91A3F">
        <w:rPr>
          <w:rFonts w:asciiTheme="minorHAnsi" w:hAnsiTheme="minorHAnsi" w:cs="Arial"/>
          <w:b/>
          <w:bCs/>
          <w:color w:val="C00000"/>
        </w:rPr>
        <w:t xml:space="preserve">” </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b/>
          <w:bCs/>
          <w:color w:val="C00000"/>
        </w:rPr>
        <w:t> </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b/>
          <w:bCs/>
          <w:color w:val="17365D"/>
        </w:rPr>
        <w:t>Per informazioni e prenotazioni: tel. 0422.513150</w:t>
      </w:r>
    </w:p>
    <w:p w:rsidR="00C91A3F" w:rsidRPr="00C91A3F" w:rsidRDefault="00C91A3F" w:rsidP="00C91A3F">
      <w:pPr>
        <w:spacing w:after="0" w:line="240" w:lineRule="auto"/>
        <w:jc w:val="both"/>
        <w:rPr>
          <w:rFonts w:asciiTheme="minorHAnsi" w:hAnsiTheme="minorHAnsi"/>
          <w:color w:val="000000"/>
        </w:rPr>
      </w:pPr>
      <w:r w:rsidRPr="00C91A3F">
        <w:rPr>
          <w:rFonts w:asciiTheme="minorHAnsi" w:hAnsiTheme="minorHAnsi" w:cs="Arial"/>
          <w:b/>
          <w:bCs/>
          <w:color w:val="000000"/>
        </w:rPr>
        <w:t>Sito internet della mostra</w:t>
      </w:r>
      <w:r w:rsidRPr="00C91A3F">
        <w:rPr>
          <w:rFonts w:asciiTheme="minorHAnsi" w:hAnsiTheme="minorHAnsi" w:cs="Arial"/>
          <w:color w:val="000000"/>
        </w:rPr>
        <w:t xml:space="preserve">: </w:t>
      </w:r>
      <w:hyperlink r:id="rId6" w:history="1">
        <w:r w:rsidRPr="00C91A3F">
          <w:rPr>
            <w:rStyle w:val="Hyperlink"/>
            <w:rFonts w:asciiTheme="minorHAnsi" w:hAnsiTheme="minorHAnsi" w:cs="Arial"/>
            <w:b/>
            <w:bCs/>
          </w:rPr>
          <w:t>www.laviadellaseta.info</w:t>
        </w:r>
      </w:hyperlink>
    </w:p>
    <w:p w:rsidR="00C91A3F" w:rsidRPr="00C91A3F" w:rsidRDefault="00C91A3F" w:rsidP="00C91A3F">
      <w:pPr>
        <w:spacing w:after="0" w:line="240" w:lineRule="auto"/>
        <w:jc w:val="both"/>
        <w:rPr>
          <w:rFonts w:asciiTheme="minorHAnsi" w:hAnsiTheme="minorHAnsi"/>
          <w:color w:val="1F497D"/>
        </w:rPr>
      </w:pPr>
      <w:r w:rsidRPr="00C91A3F">
        <w:rPr>
          <w:rFonts w:asciiTheme="minorHAnsi" w:hAnsiTheme="minorHAnsi" w:cs="Arial"/>
          <w:b/>
          <w:bCs/>
          <w:color w:val="FF0000"/>
        </w:rPr>
        <w:t> </w:t>
      </w:r>
      <w:r w:rsidRPr="00C91A3F">
        <w:rPr>
          <w:rFonts w:asciiTheme="minorHAnsi" w:hAnsiTheme="minorHAnsi" w:cs="Arial"/>
          <w:b/>
          <w:bCs/>
          <w:color w:val="000000"/>
        </w:rPr>
        <w:t> </w:t>
      </w:r>
    </w:p>
    <w:p w:rsidR="00C91A3F" w:rsidRPr="00C91A3F" w:rsidRDefault="00C91A3F" w:rsidP="00C91A3F">
      <w:pPr>
        <w:spacing w:after="0" w:line="240" w:lineRule="auto"/>
        <w:jc w:val="both"/>
        <w:rPr>
          <w:rFonts w:asciiTheme="minorHAnsi" w:hAnsiTheme="minorHAnsi" w:cs="Arial"/>
          <w:b/>
          <w:bCs/>
          <w:color w:val="000000"/>
        </w:rPr>
      </w:pPr>
      <w:r w:rsidRPr="00C91A3F">
        <w:rPr>
          <w:rFonts w:asciiTheme="minorHAnsi" w:hAnsiTheme="minorHAnsi" w:cs="Arial"/>
          <w:b/>
          <w:bCs/>
          <w:color w:val="000000"/>
        </w:rPr>
        <w:t>Organizzazione e Segreteria SIGILLUM: Via Fonderia, 49 - 31100 Treviso. Tel. 0422.424390; mail:</w:t>
      </w:r>
      <w:hyperlink r:id="rId7" w:history="1">
        <w:r w:rsidRPr="00C91A3F">
          <w:rPr>
            <w:rStyle w:val="Hyperlink"/>
            <w:rFonts w:asciiTheme="minorHAnsi" w:hAnsiTheme="minorHAnsi" w:cs="Arial"/>
            <w:b/>
            <w:bCs/>
          </w:rPr>
          <w:t>segreteria@sigillum.it</w:t>
        </w:r>
      </w:hyperlink>
    </w:p>
    <w:p w:rsidR="00C91A3F" w:rsidRPr="00C91A3F" w:rsidRDefault="00C91A3F" w:rsidP="00C91A3F">
      <w:pPr>
        <w:spacing w:after="0" w:line="240" w:lineRule="auto"/>
        <w:jc w:val="both"/>
        <w:rPr>
          <w:rFonts w:asciiTheme="minorHAnsi" w:hAnsiTheme="minorHAnsi"/>
          <w:color w:val="1F497D"/>
        </w:rPr>
      </w:pPr>
    </w:p>
    <w:p w:rsidR="00C91A3F" w:rsidRPr="00C91A3F" w:rsidRDefault="00C91A3F" w:rsidP="00C91A3F">
      <w:pPr>
        <w:spacing w:after="0" w:line="240" w:lineRule="auto"/>
        <w:rPr>
          <w:rFonts w:asciiTheme="minorHAnsi" w:hAnsiTheme="minorHAnsi"/>
          <w:color w:val="1F497D"/>
        </w:rPr>
      </w:pPr>
      <w:r w:rsidRPr="00C91A3F">
        <w:rPr>
          <w:rFonts w:asciiTheme="minorHAnsi" w:hAnsiTheme="minorHAnsi" w:cs="Arial"/>
          <w:color w:val="000000"/>
          <w:sz w:val="18"/>
          <w:szCs w:val="18"/>
        </w:rPr>
        <w:t> </w:t>
      </w:r>
    </w:p>
    <w:p w:rsidR="00C91A3F" w:rsidRPr="00C91A3F" w:rsidRDefault="00C91A3F" w:rsidP="00C91A3F">
      <w:pPr>
        <w:spacing w:after="0" w:line="240" w:lineRule="auto"/>
        <w:rPr>
          <w:rFonts w:asciiTheme="minorHAnsi" w:hAnsiTheme="minorHAnsi"/>
          <w:color w:val="1F497D"/>
          <w:sz w:val="20"/>
          <w:szCs w:val="20"/>
        </w:rPr>
      </w:pPr>
      <w:r w:rsidRPr="00C91A3F">
        <w:rPr>
          <w:rFonts w:asciiTheme="minorHAnsi" w:hAnsiTheme="minorHAnsi"/>
          <w:noProof/>
          <w:color w:val="1F497D"/>
          <w:sz w:val="24"/>
          <w:szCs w:val="24"/>
        </w:rPr>
        <w:drawing>
          <wp:inline distT="0" distB="0" distL="0" distR="0" wp14:anchorId="4684E026" wp14:editId="7297FDC6">
            <wp:extent cx="1524000" cy="361950"/>
            <wp:effectExtent l="0" t="0" r="0" b="0"/>
            <wp:docPr id="1" name="Picture 1" descr="logo 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0" cy="361950"/>
                    </a:xfrm>
                    <a:prstGeom prst="rect">
                      <a:avLst/>
                    </a:prstGeom>
                    <a:noFill/>
                    <a:ln>
                      <a:noFill/>
                    </a:ln>
                  </pic:spPr>
                </pic:pic>
              </a:graphicData>
            </a:graphic>
          </wp:inline>
        </w:drawing>
      </w:r>
      <w:r w:rsidRPr="00C91A3F">
        <w:rPr>
          <w:rFonts w:asciiTheme="minorHAnsi" w:hAnsiTheme="minorHAnsi"/>
          <w:color w:val="1F497D"/>
          <w:sz w:val="24"/>
          <w:szCs w:val="24"/>
        </w:rPr>
        <w:br/>
      </w:r>
      <w:r w:rsidRPr="00C91A3F">
        <w:rPr>
          <w:rFonts w:asciiTheme="minorHAnsi" w:hAnsiTheme="minorHAnsi"/>
          <w:color w:val="1F497D"/>
          <w:sz w:val="20"/>
          <w:szCs w:val="20"/>
        </w:rPr>
        <w:t>Via delle Belle Parti, 17 -  35141 Padova (Italy)</w:t>
      </w:r>
      <w:r w:rsidRPr="00C91A3F">
        <w:rPr>
          <w:rFonts w:asciiTheme="minorHAnsi" w:hAnsiTheme="minorHAnsi"/>
          <w:color w:val="1F497D"/>
          <w:sz w:val="20"/>
          <w:szCs w:val="20"/>
        </w:rPr>
        <w:br/>
        <w:t>mob. (+39) 348- 3423647</w:t>
      </w:r>
    </w:p>
    <w:p w:rsidR="00C91A3F" w:rsidRPr="00C91A3F" w:rsidRDefault="00C91A3F" w:rsidP="00C91A3F">
      <w:pPr>
        <w:spacing w:after="0" w:line="240" w:lineRule="auto"/>
        <w:rPr>
          <w:rFonts w:asciiTheme="minorHAnsi" w:hAnsiTheme="minorHAnsi"/>
          <w:color w:val="1F497D"/>
          <w:sz w:val="20"/>
          <w:szCs w:val="20"/>
        </w:rPr>
      </w:pPr>
      <w:hyperlink r:id="rId10" w:history="1">
        <w:r w:rsidRPr="00C91A3F">
          <w:rPr>
            <w:rStyle w:val="Hyperlink"/>
            <w:rFonts w:asciiTheme="minorHAnsi" w:hAnsiTheme="minorHAnsi"/>
            <w:sz w:val="20"/>
            <w:szCs w:val="20"/>
          </w:rPr>
          <w:t>canella@studiopierrepi.it</w:t>
        </w:r>
      </w:hyperlink>
    </w:p>
    <w:p w:rsidR="00C91A3F" w:rsidRPr="00C91A3F" w:rsidRDefault="00C91A3F" w:rsidP="00C91A3F">
      <w:pPr>
        <w:spacing w:after="0" w:line="240" w:lineRule="auto"/>
        <w:rPr>
          <w:rFonts w:asciiTheme="minorHAnsi" w:hAnsiTheme="minorHAnsi"/>
          <w:color w:val="1F497D"/>
          <w:sz w:val="20"/>
          <w:szCs w:val="20"/>
        </w:rPr>
      </w:pPr>
      <w:hyperlink r:id="rId11" w:history="1">
        <w:r w:rsidRPr="00C91A3F">
          <w:rPr>
            <w:rStyle w:val="Hyperlink"/>
            <w:rFonts w:asciiTheme="minorHAnsi" w:hAnsiTheme="minorHAnsi"/>
            <w:sz w:val="20"/>
            <w:szCs w:val="20"/>
          </w:rPr>
          <w:t>www.studiopierrepi.it</w:t>
        </w:r>
      </w:hyperlink>
      <w:r w:rsidRPr="00C91A3F">
        <w:rPr>
          <w:rFonts w:asciiTheme="minorHAnsi" w:hAnsiTheme="minorHAnsi"/>
          <w:color w:val="1F497D"/>
          <w:sz w:val="20"/>
          <w:szCs w:val="20"/>
        </w:rPr>
        <w:t xml:space="preserve"> </w:t>
      </w:r>
    </w:p>
    <w:p w:rsidR="008F3D0C" w:rsidRPr="00C91A3F" w:rsidRDefault="008F3D0C">
      <w:pPr>
        <w:rPr>
          <w:rFonts w:asciiTheme="minorHAnsi" w:hAnsiTheme="minorHAnsi"/>
        </w:rPr>
      </w:pPr>
    </w:p>
    <w:sectPr w:rsidR="008F3D0C" w:rsidRPr="00C91A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3F"/>
    <w:rsid w:val="008F3D0C"/>
    <w:rsid w:val="00C91A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3F"/>
    <w:pPr>
      <w:jc w:val="left"/>
    </w:pPr>
    <w:rPr>
      <w:rFonts w:ascii="Calibri" w:hAnsi="Calibri"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1A3F"/>
    <w:rPr>
      <w:color w:val="0000FF"/>
      <w:u w:val="single"/>
    </w:rPr>
  </w:style>
  <w:style w:type="paragraph" w:customStyle="1" w:styleId="Default">
    <w:name w:val="Default"/>
    <w:basedOn w:val="Normal"/>
    <w:rsid w:val="00C91A3F"/>
    <w:pPr>
      <w:autoSpaceDE w:val="0"/>
      <w:autoSpaceDN w:val="0"/>
      <w:spacing w:after="0" w:line="240" w:lineRule="auto"/>
    </w:pPr>
    <w:rPr>
      <w:rFonts w:ascii="Berlin Sans FB Demi" w:hAnsi="Berlin Sans FB Demi"/>
      <w:color w:val="000000"/>
      <w:sz w:val="24"/>
      <w:szCs w:val="24"/>
      <w:lang w:eastAsia="en-US"/>
    </w:rPr>
  </w:style>
  <w:style w:type="paragraph" w:styleId="BalloonText">
    <w:name w:val="Balloon Text"/>
    <w:basedOn w:val="Normal"/>
    <w:link w:val="BalloonTextChar"/>
    <w:uiPriority w:val="99"/>
    <w:semiHidden/>
    <w:unhideWhenUsed/>
    <w:rsid w:val="00C9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A3F"/>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3F"/>
    <w:pPr>
      <w:jc w:val="left"/>
    </w:pPr>
    <w:rPr>
      <w:rFonts w:ascii="Calibri" w:hAnsi="Calibri"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1A3F"/>
    <w:rPr>
      <w:color w:val="0000FF"/>
      <w:u w:val="single"/>
    </w:rPr>
  </w:style>
  <w:style w:type="paragraph" w:customStyle="1" w:styleId="Default">
    <w:name w:val="Default"/>
    <w:basedOn w:val="Normal"/>
    <w:rsid w:val="00C91A3F"/>
    <w:pPr>
      <w:autoSpaceDE w:val="0"/>
      <w:autoSpaceDN w:val="0"/>
      <w:spacing w:after="0" w:line="240" w:lineRule="auto"/>
    </w:pPr>
    <w:rPr>
      <w:rFonts w:ascii="Berlin Sans FB Demi" w:hAnsi="Berlin Sans FB Demi"/>
      <w:color w:val="000000"/>
      <w:sz w:val="24"/>
      <w:szCs w:val="24"/>
      <w:lang w:eastAsia="en-US"/>
    </w:rPr>
  </w:style>
  <w:style w:type="paragraph" w:styleId="BalloonText">
    <w:name w:val="Balloon Text"/>
    <w:basedOn w:val="Normal"/>
    <w:link w:val="BalloonTextChar"/>
    <w:uiPriority w:val="99"/>
    <w:semiHidden/>
    <w:unhideWhenUsed/>
    <w:rsid w:val="00C9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A3F"/>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greteria@sigillum.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viadellaseta.info/" TargetMode="External"/><Relationship Id="rId11" Type="http://schemas.openxmlformats.org/officeDocument/2006/relationships/hyperlink" Target="http://www.studiopierrepi.it/" TargetMode="External"/><Relationship Id="rId5" Type="http://schemas.openxmlformats.org/officeDocument/2006/relationships/image" Target="media/image1.jpeg"/><Relationship Id="rId10" Type="http://schemas.openxmlformats.org/officeDocument/2006/relationships/hyperlink" Target="mailto:canella@studiopierrepi.it" TargetMode="External"/><Relationship Id="rId4" Type="http://schemas.openxmlformats.org/officeDocument/2006/relationships/webSettings" Target="webSettings.xml"/><Relationship Id="rId9" Type="http://schemas.openxmlformats.org/officeDocument/2006/relationships/image" Target="cid:image004.jpg@01CE8F94.2BA9E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1223</Words>
  <Characters>6975</Characters>
  <Application>Microsoft Office Word</Application>
  <DocSecurity>0</DocSecurity>
  <Lines>58</Lines>
  <Paragraphs>16</Paragraphs>
  <ScaleCrop>false</ScaleCrop>
  <Company>Hewlett-Packard</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1</cp:revision>
  <dcterms:created xsi:type="dcterms:W3CDTF">2013-08-02T14:25:00Z</dcterms:created>
  <dcterms:modified xsi:type="dcterms:W3CDTF">2013-08-02T14:30:00Z</dcterms:modified>
</cp:coreProperties>
</file>